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5E" w:rsidRDefault="00FB105E" w:rsidP="00FB105E">
      <w:pPr>
        <w:pStyle w:val="NormalWeb"/>
        <w:shd w:val="clear" w:color="auto" w:fill="FFFFFF"/>
        <w:jc w:val="center"/>
        <w:rPr>
          <w:color w:val="000000"/>
          <w:sz w:val="27"/>
          <w:szCs w:val="27"/>
        </w:rPr>
      </w:pPr>
      <w:r>
        <w:rPr>
          <w:rStyle w:val="Emphasis"/>
          <w:b/>
          <w:bCs/>
          <w:color w:val="000080"/>
          <w:sz w:val="33"/>
          <w:szCs w:val="33"/>
        </w:rPr>
        <w:t>Editorial Scientific Review Committee</w:t>
      </w:r>
    </w:p>
    <w:p w:rsidR="00FB105E" w:rsidRDefault="00FB105E" w:rsidP="00FB105E">
      <w:pPr>
        <w:pStyle w:val="NormalWeb"/>
        <w:shd w:val="clear" w:color="auto" w:fill="FFFFFF"/>
        <w:rPr>
          <w:color w:val="000000"/>
          <w:sz w:val="27"/>
          <w:szCs w:val="27"/>
        </w:rPr>
      </w:pPr>
      <w:r>
        <w:rPr>
          <w:rStyle w:val="Emphasis"/>
          <w:b/>
          <w:bCs/>
          <w:color w:val="000080"/>
          <w:sz w:val="30"/>
          <w:szCs w:val="30"/>
        </w:rPr>
        <w:t>Scientific Reviewers:</w:t>
      </w:r>
    </w:p>
    <w:p w:rsidR="00FB105E" w:rsidRDefault="00FB105E" w:rsidP="00FB105E">
      <w:pPr>
        <w:pStyle w:val="NormalWeb"/>
        <w:shd w:val="clear" w:color="auto" w:fill="FFFFFF"/>
        <w:jc w:val="both"/>
        <w:rPr>
          <w:color w:val="000000"/>
          <w:sz w:val="27"/>
          <w:szCs w:val="27"/>
        </w:rPr>
      </w:pPr>
      <w:r>
        <w:rPr>
          <w:color w:val="000000"/>
          <w:sz w:val="27"/>
          <w:szCs w:val="27"/>
        </w:rPr>
        <w:t>In this section we have inserted only the heads of review board workshops. The full names will be added later after the review process will be ended, taking into account that we use the double blind review system.</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1. </w:t>
      </w:r>
      <w:r>
        <w:rPr>
          <w:rStyle w:val="Strong"/>
          <w:color w:val="000080"/>
          <w:sz w:val="27"/>
          <w:szCs w:val="27"/>
        </w:rPr>
        <w:t>Romania's sustainable economic and social development. Models, scenarios, evaluations</w:t>
      </w:r>
    </w:p>
    <w:p w:rsidR="00FB105E" w:rsidRDefault="00FB105E" w:rsidP="00FB105E">
      <w:pPr>
        <w:numPr>
          <w:ilvl w:val="0"/>
          <w:numId w:val="1"/>
        </w:numPr>
        <w:shd w:val="clear" w:color="auto" w:fill="FFFFFF"/>
        <w:spacing w:before="100" w:beforeAutospacing="1" w:after="100" w:afterAutospacing="1"/>
        <w:jc w:val="both"/>
        <w:rPr>
          <w:color w:val="000000"/>
          <w:sz w:val="27"/>
          <w:szCs w:val="27"/>
        </w:rPr>
      </w:pPr>
      <w:r>
        <w:rPr>
          <w:rStyle w:val="Strong"/>
          <w:i/>
          <w:iCs/>
          <w:color w:val="000000"/>
          <w:sz w:val="27"/>
          <w:szCs w:val="27"/>
        </w:rPr>
        <w:t>Gheorghe Zaman</w:t>
      </w:r>
      <w:r>
        <w:rPr>
          <w:color w:val="000000"/>
          <w:sz w:val="27"/>
          <w:szCs w:val="27"/>
        </w:rPr>
        <w:t>, Institute of National Economy</w:t>
      </w:r>
    </w:p>
    <w:p w:rsidR="00FB105E" w:rsidRDefault="00FB105E" w:rsidP="00FB105E">
      <w:pPr>
        <w:numPr>
          <w:ilvl w:val="0"/>
          <w:numId w:val="1"/>
        </w:numPr>
        <w:shd w:val="clear" w:color="auto" w:fill="FFFFFF"/>
        <w:spacing w:before="100" w:beforeAutospacing="1" w:after="100" w:afterAutospacing="1"/>
        <w:jc w:val="both"/>
        <w:rPr>
          <w:color w:val="000000"/>
          <w:sz w:val="27"/>
          <w:szCs w:val="27"/>
        </w:rPr>
      </w:pPr>
      <w:r>
        <w:rPr>
          <w:rStyle w:val="Strong"/>
          <w:i/>
          <w:iCs/>
          <w:color w:val="000000"/>
          <w:sz w:val="27"/>
          <w:szCs w:val="27"/>
        </w:rPr>
        <w:t>Valentina Vasile</w:t>
      </w:r>
      <w:r>
        <w:rPr>
          <w:color w:val="000000"/>
          <w:sz w:val="27"/>
          <w:szCs w:val="27"/>
        </w:rPr>
        <w:t>, Institute of National Economy</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2. </w:t>
      </w:r>
      <w:r>
        <w:rPr>
          <w:rStyle w:val="Strong"/>
          <w:color w:val="000080"/>
          <w:sz w:val="27"/>
          <w:szCs w:val="27"/>
        </w:rPr>
        <w:t>Natural resources patrimony - costs and benefits of its valorization</w:t>
      </w:r>
    </w:p>
    <w:p w:rsidR="00FB105E" w:rsidRDefault="00FB105E" w:rsidP="00FB105E">
      <w:pPr>
        <w:numPr>
          <w:ilvl w:val="0"/>
          <w:numId w:val="2"/>
        </w:numPr>
        <w:shd w:val="clear" w:color="auto" w:fill="FFFFFF"/>
        <w:spacing w:before="100" w:beforeAutospacing="1" w:after="100" w:afterAutospacing="1"/>
        <w:jc w:val="both"/>
        <w:rPr>
          <w:color w:val="000000"/>
          <w:sz w:val="27"/>
          <w:szCs w:val="27"/>
        </w:rPr>
      </w:pPr>
      <w:r>
        <w:rPr>
          <w:rStyle w:val="Strong"/>
          <w:i/>
          <w:iCs/>
          <w:color w:val="000000"/>
          <w:sz w:val="27"/>
          <w:szCs w:val="27"/>
        </w:rPr>
        <w:t>Alexandru Bogdan</w:t>
      </w:r>
      <w:r>
        <w:rPr>
          <w:color w:val="000000"/>
          <w:sz w:val="27"/>
          <w:szCs w:val="27"/>
        </w:rPr>
        <w:t>, Centre of Studies and Research in Agricultural and Forestry Biodiversity</w:t>
      </w:r>
    </w:p>
    <w:p w:rsidR="00FB105E" w:rsidRDefault="00FB105E" w:rsidP="00FB105E">
      <w:pPr>
        <w:numPr>
          <w:ilvl w:val="0"/>
          <w:numId w:val="2"/>
        </w:numPr>
        <w:shd w:val="clear" w:color="auto" w:fill="FFFFFF"/>
        <w:spacing w:before="100" w:beforeAutospacing="1" w:after="100" w:afterAutospacing="1"/>
        <w:jc w:val="both"/>
        <w:rPr>
          <w:color w:val="000000"/>
          <w:sz w:val="27"/>
          <w:szCs w:val="27"/>
        </w:rPr>
      </w:pPr>
      <w:r>
        <w:rPr>
          <w:rStyle w:val="Strong"/>
          <w:i/>
          <w:iCs/>
          <w:color w:val="000000"/>
          <w:sz w:val="27"/>
          <w:szCs w:val="27"/>
        </w:rPr>
        <w:t>Mihai Sabin Muscalu</w:t>
      </w:r>
      <w:r>
        <w:rPr>
          <w:color w:val="000000"/>
          <w:sz w:val="27"/>
          <w:szCs w:val="27"/>
        </w:rPr>
        <w:t>, Center of Industry and Services Economics</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3. </w:t>
      </w:r>
      <w:r>
        <w:rPr>
          <w:rStyle w:val="Strong"/>
          <w:color w:val="000080"/>
          <w:sz w:val="27"/>
          <w:szCs w:val="27"/>
        </w:rPr>
        <w:t>Knowledge, innovation, smart development and human capital</w:t>
      </w:r>
    </w:p>
    <w:p w:rsidR="00FB105E" w:rsidRDefault="00B062D6" w:rsidP="00FB105E">
      <w:pPr>
        <w:numPr>
          <w:ilvl w:val="0"/>
          <w:numId w:val="3"/>
        </w:numPr>
        <w:shd w:val="clear" w:color="auto" w:fill="FFFFFF"/>
        <w:spacing w:before="100" w:beforeAutospacing="1" w:after="100" w:afterAutospacing="1"/>
        <w:jc w:val="both"/>
        <w:rPr>
          <w:color w:val="000000"/>
          <w:sz w:val="27"/>
          <w:szCs w:val="27"/>
        </w:rPr>
      </w:pPr>
      <w:r>
        <w:rPr>
          <w:rStyle w:val="Strong"/>
          <w:i/>
          <w:iCs/>
          <w:color w:val="000000"/>
          <w:sz w:val="27"/>
          <w:szCs w:val="27"/>
        </w:rPr>
        <w:t>Valeriu Ioan Franc</w:t>
      </w:r>
      <w:r w:rsidR="00FB105E">
        <w:rPr>
          <w:color w:val="000000"/>
          <w:sz w:val="27"/>
          <w:szCs w:val="27"/>
        </w:rPr>
        <w:t>, National Institute for Economic Research "Costin C. Kiritescu"</w:t>
      </w:r>
    </w:p>
    <w:p w:rsidR="00FB105E" w:rsidRPr="00B062D6" w:rsidRDefault="00B062D6" w:rsidP="00F50DA7">
      <w:pPr>
        <w:numPr>
          <w:ilvl w:val="0"/>
          <w:numId w:val="3"/>
        </w:numPr>
        <w:shd w:val="clear" w:color="auto" w:fill="FFFFFF"/>
        <w:spacing w:before="100" w:beforeAutospacing="1" w:after="100" w:afterAutospacing="1"/>
        <w:jc w:val="both"/>
        <w:rPr>
          <w:color w:val="000000"/>
          <w:sz w:val="27"/>
          <w:szCs w:val="27"/>
        </w:rPr>
      </w:pPr>
      <w:r w:rsidRPr="00B062D6">
        <w:rPr>
          <w:rStyle w:val="Strong"/>
          <w:i/>
          <w:iCs/>
          <w:color w:val="000000"/>
          <w:sz w:val="27"/>
          <w:szCs w:val="27"/>
        </w:rPr>
        <w:t>Chivu Luminita</w:t>
      </w:r>
      <w:r w:rsidR="00FB105E" w:rsidRPr="00B062D6">
        <w:rPr>
          <w:color w:val="000000"/>
          <w:sz w:val="27"/>
          <w:szCs w:val="27"/>
        </w:rPr>
        <w:t xml:space="preserve">, </w:t>
      </w:r>
      <w:r w:rsidRPr="00B062D6">
        <w:rPr>
          <w:color w:val="000000"/>
          <w:sz w:val="27"/>
          <w:szCs w:val="27"/>
        </w:rPr>
        <w:t>National Institute for Economic Research "Costin C. Kiritescu"</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4. </w:t>
      </w:r>
      <w:r>
        <w:rPr>
          <w:rStyle w:val="Strong"/>
          <w:color w:val="000080"/>
          <w:sz w:val="27"/>
          <w:szCs w:val="27"/>
        </w:rPr>
        <w:t>Economy dynamics and structural changes for a competitive growth</w:t>
      </w:r>
    </w:p>
    <w:p w:rsidR="00FB105E" w:rsidRDefault="00FB105E" w:rsidP="00FB105E">
      <w:pPr>
        <w:numPr>
          <w:ilvl w:val="0"/>
          <w:numId w:val="4"/>
        </w:numPr>
        <w:shd w:val="clear" w:color="auto" w:fill="FFFFFF"/>
        <w:spacing w:before="100" w:beforeAutospacing="1" w:after="100" w:afterAutospacing="1"/>
        <w:jc w:val="both"/>
        <w:rPr>
          <w:color w:val="000000"/>
          <w:sz w:val="27"/>
          <w:szCs w:val="27"/>
        </w:rPr>
      </w:pPr>
      <w:r>
        <w:rPr>
          <w:rStyle w:val="Strong"/>
          <w:i/>
          <w:iCs/>
          <w:color w:val="000000"/>
          <w:sz w:val="27"/>
          <w:szCs w:val="27"/>
        </w:rPr>
        <w:t>George Georgescu</w:t>
      </w:r>
      <w:r>
        <w:rPr>
          <w:color w:val="000000"/>
          <w:sz w:val="27"/>
          <w:szCs w:val="27"/>
        </w:rPr>
        <w:t>, National Institute for Economic Research "Costin C. Kiritescu"</w:t>
      </w:r>
    </w:p>
    <w:p w:rsidR="00FB105E" w:rsidRDefault="00FB105E" w:rsidP="00FB105E">
      <w:pPr>
        <w:numPr>
          <w:ilvl w:val="0"/>
          <w:numId w:val="4"/>
        </w:numPr>
        <w:shd w:val="clear" w:color="auto" w:fill="FFFFFF"/>
        <w:spacing w:before="100" w:beforeAutospacing="1" w:after="100" w:afterAutospacing="1"/>
        <w:jc w:val="both"/>
        <w:rPr>
          <w:color w:val="000000"/>
          <w:sz w:val="27"/>
          <w:szCs w:val="27"/>
        </w:rPr>
      </w:pPr>
      <w:r>
        <w:rPr>
          <w:rStyle w:val="Strong"/>
          <w:i/>
          <w:iCs/>
          <w:color w:val="000000"/>
          <w:sz w:val="27"/>
          <w:szCs w:val="27"/>
        </w:rPr>
        <w:t>Corneliu Russu</w:t>
      </w:r>
      <w:r>
        <w:rPr>
          <w:color w:val="000000"/>
          <w:sz w:val="27"/>
          <w:szCs w:val="27"/>
        </w:rPr>
        <w:t>, Center of Industry and Services Economics</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5. </w:t>
      </w:r>
      <w:r>
        <w:rPr>
          <w:rStyle w:val="Strong"/>
          <w:color w:val="000080"/>
          <w:sz w:val="27"/>
          <w:szCs w:val="27"/>
        </w:rPr>
        <w:t>European integration and globalisation - new challenges</w:t>
      </w:r>
    </w:p>
    <w:p w:rsidR="00FB105E" w:rsidRDefault="00FB105E" w:rsidP="00FB105E">
      <w:pPr>
        <w:numPr>
          <w:ilvl w:val="0"/>
          <w:numId w:val="5"/>
        </w:numPr>
        <w:shd w:val="clear" w:color="auto" w:fill="FFFFFF"/>
        <w:spacing w:before="100" w:beforeAutospacing="1" w:after="100" w:afterAutospacing="1"/>
        <w:jc w:val="both"/>
        <w:rPr>
          <w:color w:val="000000"/>
          <w:sz w:val="27"/>
          <w:szCs w:val="27"/>
        </w:rPr>
      </w:pPr>
      <w:r>
        <w:rPr>
          <w:rStyle w:val="Strong"/>
          <w:i/>
          <w:iCs/>
          <w:color w:val="000000"/>
          <w:sz w:val="27"/>
          <w:szCs w:val="27"/>
        </w:rPr>
        <w:t>Mugur Constantin Isarescu</w:t>
      </w:r>
      <w:r>
        <w:rPr>
          <w:color w:val="000000"/>
          <w:sz w:val="27"/>
          <w:szCs w:val="27"/>
        </w:rPr>
        <w:t>, Romanian Academy</w:t>
      </w:r>
    </w:p>
    <w:p w:rsidR="00FB105E" w:rsidRDefault="00FB105E" w:rsidP="00FB105E">
      <w:pPr>
        <w:numPr>
          <w:ilvl w:val="0"/>
          <w:numId w:val="5"/>
        </w:numPr>
        <w:shd w:val="clear" w:color="auto" w:fill="FFFFFF"/>
        <w:spacing w:before="100" w:beforeAutospacing="1" w:after="100" w:afterAutospacing="1"/>
        <w:jc w:val="both"/>
        <w:rPr>
          <w:color w:val="000000"/>
          <w:sz w:val="27"/>
          <w:szCs w:val="27"/>
        </w:rPr>
      </w:pPr>
      <w:r>
        <w:rPr>
          <w:rStyle w:val="Strong"/>
          <w:i/>
          <w:iCs/>
          <w:color w:val="000000"/>
          <w:sz w:val="27"/>
          <w:szCs w:val="27"/>
        </w:rPr>
        <w:t>Napoleon Pop</w:t>
      </w:r>
      <w:r>
        <w:rPr>
          <w:color w:val="000000"/>
          <w:sz w:val="27"/>
          <w:szCs w:val="27"/>
        </w:rPr>
        <w:t>, National Institute of World Economy</w:t>
      </w:r>
    </w:p>
    <w:p w:rsidR="00FB105E" w:rsidRDefault="00FB105E" w:rsidP="00FB105E">
      <w:pPr>
        <w:numPr>
          <w:ilvl w:val="0"/>
          <w:numId w:val="5"/>
        </w:numPr>
        <w:shd w:val="clear" w:color="auto" w:fill="FFFFFF"/>
        <w:spacing w:before="100" w:beforeAutospacing="1" w:after="100" w:afterAutospacing="1"/>
        <w:jc w:val="both"/>
        <w:rPr>
          <w:color w:val="000000"/>
          <w:sz w:val="27"/>
          <w:szCs w:val="27"/>
        </w:rPr>
      </w:pPr>
      <w:r>
        <w:rPr>
          <w:rStyle w:val="Strong"/>
          <w:i/>
          <w:iCs/>
          <w:color w:val="000000"/>
          <w:sz w:val="27"/>
          <w:szCs w:val="27"/>
        </w:rPr>
        <w:t>Simona Moagar Poladian</w:t>
      </w:r>
      <w:r>
        <w:rPr>
          <w:color w:val="000000"/>
          <w:sz w:val="27"/>
          <w:szCs w:val="27"/>
        </w:rPr>
        <w:t>, Institute of World Economy</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6. </w:t>
      </w:r>
      <w:r>
        <w:rPr>
          <w:rStyle w:val="Strong"/>
          <w:color w:val="000080"/>
          <w:sz w:val="27"/>
          <w:szCs w:val="27"/>
        </w:rPr>
        <w:t>Economic instability and stabilisation policies</w:t>
      </w:r>
    </w:p>
    <w:p w:rsidR="00FB105E" w:rsidRDefault="00FB105E" w:rsidP="00FB105E">
      <w:pPr>
        <w:numPr>
          <w:ilvl w:val="0"/>
          <w:numId w:val="6"/>
        </w:numPr>
        <w:shd w:val="clear" w:color="auto" w:fill="FFFFFF"/>
        <w:spacing w:before="100" w:beforeAutospacing="1" w:after="100" w:afterAutospacing="1"/>
        <w:jc w:val="both"/>
        <w:rPr>
          <w:color w:val="000000"/>
          <w:sz w:val="27"/>
          <w:szCs w:val="27"/>
        </w:rPr>
      </w:pPr>
      <w:r>
        <w:rPr>
          <w:rStyle w:val="Strong"/>
          <w:i/>
          <w:iCs/>
          <w:color w:val="000000"/>
          <w:sz w:val="27"/>
          <w:szCs w:val="27"/>
        </w:rPr>
        <w:t>Aurel Iancu</w:t>
      </w:r>
      <w:r>
        <w:rPr>
          <w:color w:val="000000"/>
          <w:sz w:val="27"/>
          <w:szCs w:val="27"/>
        </w:rPr>
        <w:t>, Complex Researches Center</w:t>
      </w:r>
    </w:p>
    <w:p w:rsidR="00FB105E" w:rsidRDefault="00FB105E" w:rsidP="00FB105E">
      <w:pPr>
        <w:numPr>
          <w:ilvl w:val="0"/>
          <w:numId w:val="6"/>
        </w:numPr>
        <w:shd w:val="clear" w:color="auto" w:fill="FFFFFF"/>
        <w:spacing w:before="100" w:beforeAutospacing="1" w:after="100" w:afterAutospacing="1"/>
        <w:jc w:val="both"/>
        <w:rPr>
          <w:color w:val="000000"/>
          <w:sz w:val="27"/>
          <w:szCs w:val="27"/>
        </w:rPr>
      </w:pPr>
      <w:r>
        <w:rPr>
          <w:rStyle w:val="Strong"/>
          <w:i/>
          <w:iCs/>
          <w:color w:val="000000"/>
          <w:sz w:val="27"/>
          <w:szCs w:val="27"/>
        </w:rPr>
        <w:lastRenderedPageBreak/>
        <w:t>Constantin Marin</w:t>
      </w:r>
      <w:r>
        <w:rPr>
          <w:color w:val="000000"/>
          <w:sz w:val="27"/>
          <w:szCs w:val="27"/>
        </w:rPr>
        <w:t>, Centre of Financial and Monetary Research</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7. </w:t>
      </w:r>
      <w:r>
        <w:rPr>
          <w:rStyle w:val="Strong"/>
          <w:color w:val="000080"/>
          <w:sz w:val="27"/>
          <w:szCs w:val="27"/>
        </w:rPr>
        <w:t>Development and improvement of economic and social forecasting tools</w:t>
      </w:r>
    </w:p>
    <w:p w:rsidR="00FB105E" w:rsidRDefault="00FB105E" w:rsidP="00FB105E">
      <w:pPr>
        <w:numPr>
          <w:ilvl w:val="0"/>
          <w:numId w:val="7"/>
        </w:numPr>
        <w:shd w:val="clear" w:color="auto" w:fill="FFFFFF"/>
        <w:spacing w:before="100" w:beforeAutospacing="1" w:after="100" w:afterAutospacing="1"/>
        <w:jc w:val="both"/>
        <w:rPr>
          <w:color w:val="000000"/>
          <w:sz w:val="27"/>
          <w:szCs w:val="27"/>
        </w:rPr>
      </w:pPr>
      <w:r>
        <w:rPr>
          <w:rStyle w:val="Strong"/>
          <w:i/>
          <w:iCs/>
          <w:color w:val="000000"/>
          <w:sz w:val="27"/>
          <w:szCs w:val="27"/>
        </w:rPr>
        <w:t>Emilian Dobrescu</w:t>
      </w:r>
      <w:r>
        <w:rPr>
          <w:color w:val="000000"/>
          <w:sz w:val="27"/>
          <w:szCs w:val="27"/>
        </w:rPr>
        <w:t>, Center for Macro-economic Modelling</w:t>
      </w:r>
    </w:p>
    <w:p w:rsidR="00FB105E" w:rsidRDefault="00FB105E" w:rsidP="00FB105E">
      <w:pPr>
        <w:numPr>
          <w:ilvl w:val="0"/>
          <w:numId w:val="7"/>
        </w:numPr>
        <w:shd w:val="clear" w:color="auto" w:fill="FFFFFF"/>
        <w:spacing w:before="100" w:beforeAutospacing="1" w:after="100" w:afterAutospacing="1"/>
        <w:jc w:val="both"/>
        <w:rPr>
          <w:color w:val="000000"/>
          <w:sz w:val="27"/>
          <w:szCs w:val="27"/>
        </w:rPr>
      </w:pPr>
      <w:r>
        <w:rPr>
          <w:rStyle w:val="Emphasis"/>
          <w:b/>
          <w:bCs/>
          <w:color w:val="000000"/>
          <w:sz w:val="27"/>
          <w:szCs w:val="27"/>
        </w:rPr>
        <w:t>Lucian Liviu Albu</w:t>
      </w:r>
      <w:r>
        <w:rPr>
          <w:color w:val="000000"/>
          <w:sz w:val="27"/>
          <w:szCs w:val="27"/>
        </w:rPr>
        <w:t>, Institute of Economic Forecasting</w:t>
      </w:r>
    </w:p>
    <w:p w:rsidR="00FB105E" w:rsidRDefault="00FB105E" w:rsidP="00FB105E">
      <w:pPr>
        <w:numPr>
          <w:ilvl w:val="0"/>
          <w:numId w:val="7"/>
        </w:numPr>
        <w:shd w:val="clear" w:color="auto" w:fill="FFFFFF"/>
        <w:spacing w:before="100" w:beforeAutospacing="1" w:after="100" w:afterAutospacing="1"/>
        <w:jc w:val="both"/>
        <w:rPr>
          <w:color w:val="000000"/>
          <w:sz w:val="27"/>
          <w:szCs w:val="27"/>
        </w:rPr>
      </w:pPr>
      <w:r>
        <w:rPr>
          <w:rStyle w:val="Emphasis"/>
          <w:b/>
          <w:bCs/>
          <w:color w:val="000000"/>
          <w:sz w:val="27"/>
          <w:szCs w:val="27"/>
        </w:rPr>
        <w:t>Marioara Iordan</w:t>
      </w:r>
      <w:r>
        <w:rPr>
          <w:color w:val="000000"/>
          <w:sz w:val="27"/>
          <w:szCs w:val="27"/>
        </w:rPr>
        <w:t>, Institute of Economic Forecasting</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8. </w:t>
      </w:r>
      <w:r>
        <w:rPr>
          <w:rStyle w:val="Strong"/>
          <w:color w:val="000080"/>
          <w:sz w:val="27"/>
          <w:szCs w:val="27"/>
        </w:rPr>
        <w:t>Food safety and security – challenges for agriculture economic development</w:t>
      </w:r>
    </w:p>
    <w:p w:rsidR="00FB105E" w:rsidRDefault="00FB105E" w:rsidP="00FB105E">
      <w:pPr>
        <w:numPr>
          <w:ilvl w:val="0"/>
          <w:numId w:val="8"/>
        </w:numPr>
        <w:shd w:val="clear" w:color="auto" w:fill="FFFFFF"/>
        <w:spacing w:before="100" w:beforeAutospacing="1" w:after="100" w:afterAutospacing="1"/>
        <w:jc w:val="both"/>
        <w:rPr>
          <w:color w:val="000000"/>
          <w:sz w:val="27"/>
          <w:szCs w:val="27"/>
        </w:rPr>
      </w:pPr>
      <w:r>
        <w:rPr>
          <w:rStyle w:val="Strong"/>
          <w:i/>
          <w:iCs/>
          <w:color w:val="000000"/>
          <w:sz w:val="27"/>
          <w:szCs w:val="27"/>
        </w:rPr>
        <w:t>Cecilia Alexandri</w:t>
      </w:r>
      <w:r>
        <w:rPr>
          <w:color w:val="000000"/>
          <w:sz w:val="27"/>
          <w:szCs w:val="27"/>
        </w:rPr>
        <w:t>, Institute of Agricultural Economy</w:t>
      </w:r>
    </w:p>
    <w:p w:rsidR="00FB105E" w:rsidRDefault="00FB105E" w:rsidP="00FB105E">
      <w:pPr>
        <w:numPr>
          <w:ilvl w:val="0"/>
          <w:numId w:val="8"/>
        </w:numPr>
        <w:shd w:val="clear" w:color="auto" w:fill="FFFFFF"/>
        <w:spacing w:before="100" w:beforeAutospacing="1" w:after="100" w:afterAutospacing="1"/>
        <w:jc w:val="both"/>
        <w:rPr>
          <w:color w:val="000000"/>
          <w:sz w:val="27"/>
          <w:szCs w:val="27"/>
        </w:rPr>
      </w:pPr>
      <w:r>
        <w:rPr>
          <w:rStyle w:val="Strong"/>
          <w:i/>
          <w:iCs/>
          <w:color w:val="000000"/>
          <w:sz w:val="27"/>
          <w:szCs w:val="27"/>
        </w:rPr>
        <w:t>Lucian Luca</w:t>
      </w:r>
      <w:r>
        <w:rPr>
          <w:color w:val="000000"/>
          <w:sz w:val="27"/>
          <w:szCs w:val="27"/>
        </w:rPr>
        <w:t>, Institute of Agricultural Economy</w:t>
      </w:r>
    </w:p>
    <w:p w:rsidR="00FB105E" w:rsidRDefault="00FB105E" w:rsidP="00FB105E">
      <w:pPr>
        <w:numPr>
          <w:ilvl w:val="0"/>
          <w:numId w:val="8"/>
        </w:numPr>
        <w:shd w:val="clear" w:color="auto" w:fill="FFFFFF"/>
        <w:spacing w:before="100" w:beforeAutospacing="1" w:after="100" w:afterAutospacing="1"/>
        <w:jc w:val="both"/>
        <w:rPr>
          <w:color w:val="000000"/>
          <w:sz w:val="27"/>
          <w:szCs w:val="27"/>
        </w:rPr>
      </w:pPr>
      <w:r>
        <w:rPr>
          <w:rStyle w:val="Strong"/>
          <w:i/>
          <w:iCs/>
          <w:color w:val="000000"/>
          <w:sz w:val="27"/>
          <w:szCs w:val="27"/>
        </w:rPr>
        <w:t>Iuliana Ionel</w:t>
      </w:r>
      <w:r>
        <w:rPr>
          <w:color w:val="000000"/>
          <w:sz w:val="27"/>
          <w:szCs w:val="27"/>
        </w:rPr>
        <w:t>, Institute of Agricultural Economy</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w:t>
      </w:r>
      <w:r>
        <w:rPr>
          <w:color w:val="000080"/>
          <w:sz w:val="27"/>
          <w:szCs w:val="27"/>
        </w:rPr>
        <w:t> </w:t>
      </w:r>
      <w:r>
        <w:rPr>
          <w:rStyle w:val="Emphasis"/>
          <w:b/>
          <w:bCs/>
          <w:color w:val="000080"/>
          <w:sz w:val="27"/>
          <w:szCs w:val="27"/>
        </w:rPr>
        <w:t>9. </w:t>
      </w:r>
      <w:r>
        <w:rPr>
          <w:rStyle w:val="Strong"/>
          <w:color w:val="000080"/>
          <w:sz w:val="27"/>
          <w:szCs w:val="27"/>
        </w:rPr>
        <w:t>Assessment of economic-social and political experiences and thoughts</w:t>
      </w:r>
    </w:p>
    <w:p w:rsidR="00FB105E" w:rsidRDefault="00FB105E" w:rsidP="00FB105E">
      <w:pPr>
        <w:numPr>
          <w:ilvl w:val="0"/>
          <w:numId w:val="9"/>
        </w:numPr>
        <w:shd w:val="clear" w:color="auto" w:fill="FFFFFF"/>
        <w:spacing w:before="100" w:beforeAutospacing="1" w:after="100" w:afterAutospacing="1"/>
        <w:jc w:val="both"/>
        <w:rPr>
          <w:color w:val="000000"/>
          <w:sz w:val="27"/>
          <w:szCs w:val="27"/>
        </w:rPr>
      </w:pPr>
      <w:r>
        <w:rPr>
          <w:rStyle w:val="Strong"/>
          <w:i/>
          <w:iCs/>
          <w:color w:val="000000"/>
          <w:sz w:val="27"/>
          <w:szCs w:val="27"/>
        </w:rPr>
        <w:t>Victor Axinciuc</w:t>
      </w:r>
      <w:r>
        <w:rPr>
          <w:color w:val="000000"/>
          <w:sz w:val="27"/>
          <w:szCs w:val="27"/>
        </w:rPr>
        <w:t>, Romanian Academy</w:t>
      </w:r>
    </w:p>
    <w:p w:rsidR="00FB105E" w:rsidRDefault="00FB105E" w:rsidP="00FB105E">
      <w:pPr>
        <w:numPr>
          <w:ilvl w:val="0"/>
          <w:numId w:val="9"/>
        </w:numPr>
        <w:shd w:val="clear" w:color="auto" w:fill="FFFFFF"/>
        <w:spacing w:before="100" w:beforeAutospacing="1" w:after="100" w:afterAutospacing="1"/>
        <w:jc w:val="both"/>
        <w:rPr>
          <w:color w:val="000000"/>
          <w:sz w:val="27"/>
          <w:szCs w:val="27"/>
        </w:rPr>
      </w:pPr>
      <w:r>
        <w:rPr>
          <w:rStyle w:val="Strong"/>
          <w:i/>
          <w:iCs/>
          <w:color w:val="000000"/>
          <w:sz w:val="27"/>
          <w:szCs w:val="27"/>
        </w:rPr>
        <w:t>Florin Marius Pavelescu</w:t>
      </w:r>
      <w:r>
        <w:rPr>
          <w:color w:val="000000"/>
          <w:sz w:val="27"/>
          <w:szCs w:val="27"/>
        </w:rPr>
        <w:t>, Institute of National Economy</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 10. </w:t>
      </w:r>
      <w:r>
        <w:rPr>
          <w:rStyle w:val="Strong"/>
          <w:color w:val="000080"/>
          <w:sz w:val="27"/>
          <w:szCs w:val="27"/>
        </w:rPr>
        <w:t>Contributions to the New Encyclopaedia of Romania</w:t>
      </w:r>
    </w:p>
    <w:p w:rsidR="00FB105E" w:rsidRDefault="00FB105E" w:rsidP="00FB105E">
      <w:pPr>
        <w:numPr>
          <w:ilvl w:val="0"/>
          <w:numId w:val="10"/>
        </w:numPr>
        <w:shd w:val="clear" w:color="auto" w:fill="FFFFFF"/>
        <w:spacing w:before="100" w:beforeAutospacing="1" w:after="100" w:afterAutospacing="1"/>
        <w:jc w:val="both"/>
        <w:rPr>
          <w:color w:val="000000"/>
          <w:sz w:val="27"/>
          <w:szCs w:val="27"/>
        </w:rPr>
      </w:pPr>
      <w:r>
        <w:rPr>
          <w:rStyle w:val="Emphasis"/>
          <w:b/>
          <w:bCs/>
          <w:color w:val="000000"/>
          <w:sz w:val="27"/>
          <w:szCs w:val="27"/>
        </w:rPr>
        <w:t>Valeriu Ioan-Franc</w:t>
      </w:r>
      <w:r>
        <w:rPr>
          <w:color w:val="000000"/>
          <w:sz w:val="27"/>
          <w:szCs w:val="27"/>
        </w:rPr>
        <w:t>, </w:t>
      </w:r>
      <w:r w:rsidRPr="00591F9E">
        <w:rPr>
          <w:color w:val="000000"/>
          <w:sz w:val="27"/>
          <w:szCs w:val="27"/>
        </w:rPr>
        <w:t>National Institute for Economic Research "Costin C. Kiritescu"</w:t>
      </w:r>
    </w:p>
    <w:p w:rsidR="00FB105E" w:rsidRDefault="00FB105E" w:rsidP="00FB105E">
      <w:pPr>
        <w:numPr>
          <w:ilvl w:val="0"/>
          <w:numId w:val="10"/>
        </w:numPr>
        <w:shd w:val="clear" w:color="auto" w:fill="FFFFFF"/>
        <w:spacing w:before="100" w:beforeAutospacing="1" w:after="100" w:afterAutospacing="1"/>
        <w:jc w:val="both"/>
        <w:rPr>
          <w:color w:val="000000"/>
          <w:sz w:val="27"/>
          <w:szCs w:val="27"/>
        </w:rPr>
      </w:pPr>
      <w:r>
        <w:rPr>
          <w:rStyle w:val="Strong"/>
          <w:i/>
          <w:iCs/>
          <w:color w:val="000000"/>
          <w:sz w:val="27"/>
          <w:szCs w:val="27"/>
        </w:rPr>
        <w:t>Ilie Badescu</w:t>
      </w:r>
      <w:r>
        <w:rPr>
          <w:color w:val="000000"/>
          <w:sz w:val="27"/>
          <w:szCs w:val="27"/>
        </w:rPr>
        <w:t>, Institute of Sociology</w:t>
      </w:r>
      <w:bookmarkStart w:id="0" w:name="_GoBack"/>
      <w:bookmarkEnd w:id="0"/>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 11. </w:t>
      </w:r>
      <w:r>
        <w:rPr>
          <w:rStyle w:val="Strong"/>
          <w:color w:val="000080"/>
          <w:sz w:val="27"/>
          <w:szCs w:val="27"/>
        </w:rPr>
        <w:t>Quality of life and social policies evaluations</w:t>
      </w:r>
    </w:p>
    <w:p w:rsidR="00FB105E" w:rsidRDefault="00FB105E" w:rsidP="00FB105E">
      <w:pPr>
        <w:numPr>
          <w:ilvl w:val="0"/>
          <w:numId w:val="11"/>
        </w:numPr>
        <w:shd w:val="clear" w:color="auto" w:fill="FFFFFF"/>
        <w:spacing w:before="100" w:beforeAutospacing="1" w:after="100" w:afterAutospacing="1"/>
        <w:jc w:val="both"/>
        <w:rPr>
          <w:color w:val="000000"/>
          <w:sz w:val="27"/>
          <w:szCs w:val="27"/>
        </w:rPr>
      </w:pPr>
      <w:r>
        <w:rPr>
          <w:rStyle w:val="Strong"/>
          <w:i/>
          <w:iCs/>
          <w:color w:val="000000"/>
          <w:sz w:val="27"/>
          <w:szCs w:val="27"/>
        </w:rPr>
        <w:t>Catalin Zamfir</w:t>
      </w:r>
      <w:r>
        <w:rPr>
          <w:color w:val="000000"/>
          <w:sz w:val="27"/>
          <w:szCs w:val="27"/>
        </w:rPr>
        <w:t>, Institute for Research of the Quality of Life</w:t>
      </w:r>
    </w:p>
    <w:p w:rsidR="00FB105E" w:rsidRDefault="00FB105E" w:rsidP="00FB105E">
      <w:pPr>
        <w:numPr>
          <w:ilvl w:val="0"/>
          <w:numId w:val="11"/>
        </w:numPr>
        <w:shd w:val="clear" w:color="auto" w:fill="FFFFFF"/>
        <w:spacing w:before="100" w:beforeAutospacing="1" w:after="100" w:afterAutospacing="1"/>
        <w:jc w:val="both"/>
        <w:rPr>
          <w:color w:val="000000"/>
          <w:sz w:val="27"/>
          <w:szCs w:val="27"/>
        </w:rPr>
      </w:pPr>
      <w:r>
        <w:rPr>
          <w:rStyle w:val="Strong"/>
          <w:i/>
          <w:iCs/>
          <w:color w:val="000000"/>
          <w:sz w:val="27"/>
          <w:szCs w:val="27"/>
        </w:rPr>
        <w:t>Sorin Cace</w:t>
      </w:r>
      <w:r>
        <w:rPr>
          <w:color w:val="000000"/>
          <w:sz w:val="27"/>
          <w:szCs w:val="27"/>
        </w:rPr>
        <w:t>, Institute for Research of the Quality of Life</w:t>
      </w:r>
    </w:p>
    <w:p w:rsidR="00FB105E" w:rsidRDefault="00FB105E" w:rsidP="00FB105E">
      <w:pPr>
        <w:numPr>
          <w:ilvl w:val="0"/>
          <w:numId w:val="11"/>
        </w:numPr>
        <w:shd w:val="clear" w:color="auto" w:fill="FFFFFF"/>
        <w:spacing w:before="100" w:beforeAutospacing="1" w:after="100" w:afterAutospacing="1"/>
        <w:jc w:val="both"/>
        <w:rPr>
          <w:color w:val="000000"/>
          <w:sz w:val="27"/>
          <w:szCs w:val="27"/>
        </w:rPr>
      </w:pPr>
      <w:r>
        <w:rPr>
          <w:rStyle w:val="Strong"/>
          <w:i/>
          <w:iCs/>
          <w:color w:val="000000"/>
          <w:sz w:val="27"/>
          <w:szCs w:val="27"/>
        </w:rPr>
        <w:t>Ion Marginean</w:t>
      </w:r>
      <w:r>
        <w:rPr>
          <w:color w:val="000000"/>
          <w:sz w:val="27"/>
          <w:szCs w:val="27"/>
        </w:rPr>
        <w:t>, Institute for Research of the Quality of Life</w:t>
      </w:r>
    </w:p>
    <w:p w:rsidR="00FB105E" w:rsidRDefault="00FB105E" w:rsidP="00FB105E">
      <w:pPr>
        <w:pStyle w:val="NormalWeb"/>
        <w:shd w:val="clear" w:color="auto" w:fill="FFFFFF"/>
        <w:jc w:val="both"/>
        <w:rPr>
          <w:color w:val="000000"/>
          <w:sz w:val="27"/>
          <w:szCs w:val="27"/>
        </w:rPr>
      </w:pPr>
      <w:r>
        <w:rPr>
          <w:rStyle w:val="Emphasis"/>
          <w:b/>
          <w:bCs/>
          <w:color w:val="000080"/>
          <w:sz w:val="27"/>
          <w:szCs w:val="27"/>
        </w:rPr>
        <w:t>Conference Section 12. </w:t>
      </w:r>
      <w:r>
        <w:rPr>
          <w:rStyle w:val="Strong"/>
          <w:color w:val="000080"/>
          <w:sz w:val="27"/>
          <w:szCs w:val="27"/>
        </w:rPr>
        <w:t>Demographic facts and figures</w:t>
      </w:r>
    </w:p>
    <w:p w:rsidR="00FB105E" w:rsidRDefault="00591F9E" w:rsidP="00FB105E">
      <w:pPr>
        <w:numPr>
          <w:ilvl w:val="0"/>
          <w:numId w:val="12"/>
        </w:numPr>
        <w:shd w:val="clear" w:color="auto" w:fill="FFFFFF"/>
        <w:spacing w:before="100" w:beforeAutospacing="1" w:after="100" w:afterAutospacing="1"/>
        <w:jc w:val="both"/>
        <w:rPr>
          <w:color w:val="000000"/>
          <w:sz w:val="27"/>
          <w:szCs w:val="27"/>
        </w:rPr>
      </w:pPr>
      <w:r>
        <w:rPr>
          <w:rStyle w:val="Strong"/>
          <w:i/>
          <w:iCs/>
          <w:color w:val="000000"/>
          <w:sz w:val="27"/>
          <w:szCs w:val="27"/>
        </w:rPr>
        <w:t>Vasile Ghetau</w:t>
      </w:r>
      <w:r w:rsidR="00FB105E">
        <w:rPr>
          <w:color w:val="000000"/>
          <w:sz w:val="27"/>
          <w:szCs w:val="27"/>
        </w:rPr>
        <w:t>, </w:t>
      </w:r>
      <w:r w:rsidR="00FB105E">
        <w:rPr>
          <w:color w:val="000000"/>
        </w:rPr>
        <w:t>National Institute for Economic Research "Costin C. Kiritescu"</w:t>
      </w:r>
    </w:p>
    <w:p w:rsidR="00FB105E" w:rsidRDefault="00FB105E" w:rsidP="00FB105E">
      <w:pPr>
        <w:numPr>
          <w:ilvl w:val="0"/>
          <w:numId w:val="12"/>
        </w:numPr>
        <w:shd w:val="clear" w:color="auto" w:fill="FFFFFF"/>
        <w:spacing w:before="100" w:beforeAutospacing="1" w:after="100" w:afterAutospacing="1"/>
        <w:jc w:val="both"/>
        <w:rPr>
          <w:color w:val="000000"/>
          <w:sz w:val="27"/>
          <w:szCs w:val="27"/>
        </w:rPr>
      </w:pPr>
      <w:r>
        <w:rPr>
          <w:rStyle w:val="Strong"/>
          <w:i/>
          <w:iCs/>
          <w:color w:val="000000"/>
          <w:sz w:val="27"/>
          <w:szCs w:val="27"/>
        </w:rPr>
        <w:t>Carmen</w:t>
      </w:r>
      <w:r w:rsidR="00591F9E">
        <w:rPr>
          <w:rStyle w:val="Strong"/>
          <w:i/>
          <w:iCs/>
          <w:color w:val="000000"/>
          <w:sz w:val="27"/>
          <w:szCs w:val="27"/>
        </w:rPr>
        <w:t xml:space="preserve"> </w:t>
      </w:r>
      <w:r w:rsidR="00591F9E">
        <w:rPr>
          <w:rStyle w:val="Strong"/>
          <w:i/>
          <w:iCs/>
          <w:color w:val="000000"/>
          <w:sz w:val="27"/>
          <w:szCs w:val="27"/>
        </w:rPr>
        <w:t>Gheorghe</w:t>
      </w:r>
      <w:r>
        <w:rPr>
          <w:color w:val="000000"/>
          <w:sz w:val="27"/>
          <w:szCs w:val="27"/>
        </w:rPr>
        <w:t>, Center for</w:t>
      </w:r>
      <w:r>
        <w:rPr>
          <w:color w:val="000000"/>
        </w:rPr>
        <w:t> </w:t>
      </w:r>
      <w:r>
        <w:rPr>
          <w:color w:val="000000"/>
          <w:sz w:val="27"/>
          <w:szCs w:val="27"/>
        </w:rPr>
        <w:t>Demographic Research</w:t>
      </w:r>
    </w:p>
    <w:p w:rsidR="00FB105E" w:rsidRDefault="00FB105E" w:rsidP="00FB105E">
      <w:pPr>
        <w:pStyle w:val="NormalWeb"/>
        <w:shd w:val="clear" w:color="auto" w:fill="FFFFFF"/>
        <w:jc w:val="both"/>
        <w:rPr>
          <w:color w:val="000000"/>
          <w:sz w:val="27"/>
          <w:szCs w:val="27"/>
        </w:rPr>
      </w:pPr>
      <w:r>
        <w:rPr>
          <w:rStyle w:val="Strong"/>
          <w:i/>
          <w:iCs/>
          <w:color w:val="000080"/>
          <w:sz w:val="27"/>
          <w:szCs w:val="27"/>
        </w:rPr>
        <w:t>Conference Section 13. </w:t>
      </w:r>
      <w:r>
        <w:rPr>
          <w:rStyle w:val="Strong"/>
          <w:color w:val="000080"/>
          <w:sz w:val="27"/>
          <w:szCs w:val="27"/>
        </w:rPr>
        <w:t>Mountain Economy</w:t>
      </w:r>
    </w:p>
    <w:p w:rsidR="00FB105E" w:rsidRDefault="00FB105E" w:rsidP="00FB105E">
      <w:pPr>
        <w:numPr>
          <w:ilvl w:val="0"/>
          <w:numId w:val="13"/>
        </w:numPr>
        <w:shd w:val="clear" w:color="auto" w:fill="FFFFFF"/>
        <w:spacing w:before="100" w:beforeAutospacing="1" w:after="100" w:afterAutospacing="1"/>
        <w:jc w:val="both"/>
        <w:rPr>
          <w:color w:val="000000"/>
          <w:sz w:val="27"/>
          <w:szCs w:val="27"/>
        </w:rPr>
      </w:pPr>
      <w:r>
        <w:rPr>
          <w:rStyle w:val="Emphasis"/>
          <w:b/>
          <w:bCs/>
          <w:color w:val="000000"/>
          <w:sz w:val="27"/>
          <w:szCs w:val="27"/>
        </w:rPr>
        <w:t>Radu Rey</w:t>
      </w:r>
      <w:r>
        <w:rPr>
          <w:color w:val="000000"/>
          <w:sz w:val="27"/>
          <w:szCs w:val="27"/>
        </w:rPr>
        <w:t>, Centre for Mountain Economics</w:t>
      </w:r>
    </w:p>
    <w:p w:rsidR="00FB105E" w:rsidRDefault="00FB105E" w:rsidP="00FB105E">
      <w:pPr>
        <w:numPr>
          <w:ilvl w:val="0"/>
          <w:numId w:val="13"/>
        </w:numPr>
        <w:shd w:val="clear" w:color="auto" w:fill="FFFFFF"/>
        <w:spacing w:before="100" w:beforeAutospacing="1" w:after="100" w:afterAutospacing="1"/>
        <w:jc w:val="both"/>
        <w:rPr>
          <w:color w:val="000000"/>
          <w:sz w:val="27"/>
          <w:szCs w:val="27"/>
        </w:rPr>
      </w:pPr>
      <w:r>
        <w:rPr>
          <w:rStyle w:val="Strong"/>
          <w:i/>
          <w:iCs/>
          <w:color w:val="000000"/>
          <w:sz w:val="27"/>
          <w:szCs w:val="27"/>
        </w:rPr>
        <w:t>Ioan Surdu</w:t>
      </w:r>
      <w:r>
        <w:rPr>
          <w:color w:val="000000"/>
          <w:sz w:val="27"/>
          <w:szCs w:val="27"/>
        </w:rPr>
        <w:t>, Centre for Mountain Economics</w:t>
      </w:r>
    </w:p>
    <w:p w:rsidR="00FB105E" w:rsidRDefault="00FB105E" w:rsidP="00FB105E">
      <w:pPr>
        <w:pStyle w:val="NormalWeb"/>
        <w:shd w:val="clear" w:color="auto" w:fill="FFFFFF"/>
        <w:jc w:val="both"/>
        <w:rPr>
          <w:color w:val="000000"/>
          <w:sz w:val="27"/>
          <w:szCs w:val="27"/>
        </w:rPr>
      </w:pPr>
      <w:r>
        <w:rPr>
          <w:rStyle w:val="Strong"/>
          <w:i/>
          <w:iCs/>
          <w:color w:val="000080"/>
          <w:sz w:val="27"/>
          <w:szCs w:val="27"/>
        </w:rPr>
        <w:t>Conference Section 14. </w:t>
      </w:r>
      <w:r>
        <w:rPr>
          <w:rStyle w:val="Strong"/>
          <w:color w:val="000080"/>
          <w:sz w:val="27"/>
          <w:szCs w:val="27"/>
        </w:rPr>
        <w:t>PhD and post PhD students debates</w:t>
      </w:r>
    </w:p>
    <w:p w:rsidR="00FB105E" w:rsidRDefault="00FB105E" w:rsidP="00FB105E">
      <w:pPr>
        <w:numPr>
          <w:ilvl w:val="0"/>
          <w:numId w:val="14"/>
        </w:numPr>
        <w:shd w:val="clear" w:color="auto" w:fill="FFFFFF"/>
        <w:spacing w:before="100" w:beforeAutospacing="1" w:after="100" w:afterAutospacing="1"/>
        <w:jc w:val="both"/>
        <w:rPr>
          <w:color w:val="000000"/>
          <w:sz w:val="27"/>
          <w:szCs w:val="27"/>
        </w:rPr>
      </w:pPr>
      <w:r>
        <w:rPr>
          <w:rStyle w:val="Emphasis"/>
          <w:b/>
          <w:bCs/>
          <w:color w:val="000000"/>
          <w:sz w:val="27"/>
          <w:szCs w:val="27"/>
        </w:rPr>
        <w:lastRenderedPageBreak/>
        <w:t>Ene Emil Dinga</w:t>
      </w:r>
      <w:r>
        <w:rPr>
          <w:color w:val="000000"/>
          <w:sz w:val="27"/>
          <w:szCs w:val="27"/>
        </w:rPr>
        <w:t>, Centre for Financial and Monetary Research</w:t>
      </w:r>
    </w:p>
    <w:p w:rsidR="00FB105E" w:rsidRDefault="00FB105E" w:rsidP="00FB105E">
      <w:pPr>
        <w:numPr>
          <w:ilvl w:val="0"/>
          <w:numId w:val="14"/>
        </w:numPr>
        <w:shd w:val="clear" w:color="auto" w:fill="FFFFFF"/>
        <w:spacing w:before="100" w:beforeAutospacing="1" w:after="100" w:afterAutospacing="1"/>
        <w:jc w:val="both"/>
        <w:rPr>
          <w:color w:val="000000"/>
          <w:sz w:val="27"/>
          <w:szCs w:val="27"/>
        </w:rPr>
      </w:pPr>
      <w:r>
        <w:rPr>
          <w:rStyle w:val="Strong"/>
          <w:i/>
          <w:iCs/>
          <w:color w:val="000000"/>
          <w:sz w:val="27"/>
          <w:szCs w:val="27"/>
        </w:rPr>
        <w:t>Adrian Cantemir Calin</w:t>
      </w:r>
      <w:r>
        <w:rPr>
          <w:color w:val="000000"/>
          <w:sz w:val="27"/>
          <w:szCs w:val="27"/>
        </w:rPr>
        <w:t>, Institute of Economic Forecasting</w:t>
      </w:r>
    </w:p>
    <w:p w:rsidR="00FB105E" w:rsidRPr="00FB105E" w:rsidRDefault="00FB105E" w:rsidP="00FB105E">
      <w:pPr>
        <w:pStyle w:val="NormalWeb"/>
        <w:shd w:val="clear" w:color="auto" w:fill="FFFFFF"/>
        <w:jc w:val="both"/>
        <w:rPr>
          <w:rStyle w:val="Strong"/>
          <w:b w:val="0"/>
          <w:bCs w:val="0"/>
          <w:color w:val="000080"/>
          <w:sz w:val="27"/>
          <w:szCs w:val="27"/>
        </w:rPr>
      </w:pPr>
      <w:r>
        <w:rPr>
          <w:rStyle w:val="Strong"/>
          <w:i/>
          <w:iCs/>
          <w:color w:val="000080"/>
          <w:sz w:val="27"/>
          <w:szCs w:val="27"/>
        </w:rPr>
        <w:t>Conference Section 15. </w:t>
      </w:r>
      <w:r w:rsidRPr="00FB105E">
        <w:rPr>
          <w:rStyle w:val="Strong"/>
          <w:b w:val="0"/>
          <w:bCs w:val="0"/>
          <w:color w:val="000080"/>
          <w:sz w:val="27"/>
          <w:szCs w:val="27"/>
        </w:rPr>
        <w:t xml:space="preserve"> Business ethics – economic strength or weakness in a global world</w:t>
      </w:r>
    </w:p>
    <w:p w:rsidR="00FB105E" w:rsidRPr="0016043F" w:rsidRDefault="00FB105E" w:rsidP="00FB105E">
      <w:pPr>
        <w:pStyle w:val="ListParagraph"/>
        <w:numPr>
          <w:ilvl w:val="0"/>
          <w:numId w:val="14"/>
        </w:numPr>
        <w:rPr>
          <w:color w:val="000000"/>
          <w:sz w:val="27"/>
          <w:szCs w:val="27"/>
        </w:rPr>
      </w:pPr>
      <w:r w:rsidRPr="0016043F">
        <w:rPr>
          <w:rStyle w:val="Emphasis"/>
          <w:b/>
          <w:bCs/>
          <w:color w:val="000000"/>
          <w:sz w:val="27"/>
          <w:szCs w:val="27"/>
        </w:rPr>
        <w:t>Adriana Grigorescu,</w:t>
      </w:r>
      <w:r>
        <w:t xml:space="preserve"> </w:t>
      </w:r>
      <w:r w:rsidRPr="0016043F">
        <w:rPr>
          <w:color w:val="000000"/>
          <w:sz w:val="27"/>
          <w:szCs w:val="27"/>
        </w:rPr>
        <w:t>National University of Political Studies and Public Administration, Bucharest, Romania</w:t>
      </w:r>
    </w:p>
    <w:p w:rsidR="00FB105E" w:rsidRPr="0016043F" w:rsidRDefault="00FB105E" w:rsidP="00FB105E">
      <w:pPr>
        <w:pStyle w:val="ListParagraph"/>
        <w:numPr>
          <w:ilvl w:val="0"/>
          <w:numId w:val="14"/>
        </w:numPr>
        <w:shd w:val="clear" w:color="auto" w:fill="FFFFFF"/>
        <w:rPr>
          <w:color w:val="000000"/>
          <w:sz w:val="27"/>
          <w:szCs w:val="27"/>
        </w:rPr>
      </w:pPr>
      <w:r w:rsidRPr="0016043F">
        <w:rPr>
          <w:rStyle w:val="Emphasis"/>
          <w:b/>
          <w:bCs/>
          <w:sz w:val="27"/>
          <w:szCs w:val="27"/>
        </w:rPr>
        <w:t>Constantin Holzer,</w:t>
      </w:r>
      <w:r>
        <w:rPr>
          <w:rFonts w:ascii="Calibri" w:hAnsi="Calibri"/>
          <w:color w:val="000000"/>
        </w:rPr>
        <w:t xml:space="preserve"> </w:t>
      </w:r>
      <w:r w:rsidRPr="0016043F">
        <w:rPr>
          <w:color w:val="000000"/>
          <w:sz w:val="27"/>
          <w:szCs w:val="27"/>
        </w:rPr>
        <w:t xml:space="preserve">University College Cork, Ireland </w:t>
      </w:r>
    </w:p>
    <w:p w:rsidR="00FB6894" w:rsidRDefault="00BF4587"/>
    <w:sectPr w:rsidR="00FB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B37"/>
    <w:multiLevelType w:val="multilevel"/>
    <w:tmpl w:val="897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00EC9"/>
    <w:multiLevelType w:val="multilevel"/>
    <w:tmpl w:val="DFD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E695F"/>
    <w:multiLevelType w:val="multilevel"/>
    <w:tmpl w:val="6E9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D767E"/>
    <w:multiLevelType w:val="multilevel"/>
    <w:tmpl w:val="0A9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932A1"/>
    <w:multiLevelType w:val="multilevel"/>
    <w:tmpl w:val="F21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87F33"/>
    <w:multiLevelType w:val="multilevel"/>
    <w:tmpl w:val="5C3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35578"/>
    <w:multiLevelType w:val="multilevel"/>
    <w:tmpl w:val="457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85CD4"/>
    <w:multiLevelType w:val="multilevel"/>
    <w:tmpl w:val="FAF6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00247"/>
    <w:multiLevelType w:val="multilevel"/>
    <w:tmpl w:val="19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F0D8F"/>
    <w:multiLevelType w:val="multilevel"/>
    <w:tmpl w:val="B66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E502E"/>
    <w:multiLevelType w:val="multilevel"/>
    <w:tmpl w:val="7CF4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B2DBE"/>
    <w:multiLevelType w:val="multilevel"/>
    <w:tmpl w:val="FA2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9656F4"/>
    <w:multiLevelType w:val="multilevel"/>
    <w:tmpl w:val="311A03B0"/>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A5A2F"/>
    <w:multiLevelType w:val="multilevel"/>
    <w:tmpl w:val="EC2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6"/>
  </w:num>
  <w:num w:numId="8">
    <w:abstractNumId w:val="11"/>
  </w:num>
  <w:num w:numId="9">
    <w:abstractNumId w:val="10"/>
  </w:num>
  <w:num w:numId="10">
    <w:abstractNumId w:val="5"/>
  </w:num>
  <w:num w:numId="11">
    <w:abstractNumId w:val="8"/>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5E"/>
    <w:rsid w:val="0016043F"/>
    <w:rsid w:val="001761D4"/>
    <w:rsid w:val="00550B35"/>
    <w:rsid w:val="00591F9E"/>
    <w:rsid w:val="00B062D6"/>
    <w:rsid w:val="00BF4587"/>
    <w:rsid w:val="00EB4B0E"/>
    <w:rsid w:val="00FB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468"/>
  <w15:chartTrackingRefBased/>
  <w15:docId w15:val="{408593E2-05F2-4A50-BD87-6F863FF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05E"/>
    <w:pPr>
      <w:spacing w:before="100" w:beforeAutospacing="1" w:after="100" w:afterAutospacing="1"/>
    </w:pPr>
  </w:style>
  <w:style w:type="character" w:styleId="Strong">
    <w:name w:val="Strong"/>
    <w:basedOn w:val="DefaultParagraphFont"/>
    <w:uiPriority w:val="22"/>
    <w:qFormat/>
    <w:rsid w:val="00FB105E"/>
    <w:rPr>
      <w:b/>
      <w:bCs/>
    </w:rPr>
  </w:style>
  <w:style w:type="character" w:styleId="Emphasis">
    <w:name w:val="Emphasis"/>
    <w:basedOn w:val="DefaultParagraphFont"/>
    <w:uiPriority w:val="20"/>
    <w:qFormat/>
    <w:rsid w:val="00FB105E"/>
    <w:rPr>
      <w:i/>
      <w:iCs/>
    </w:rPr>
  </w:style>
  <w:style w:type="paragraph" w:styleId="ListParagraph">
    <w:name w:val="List Paragraph"/>
    <w:basedOn w:val="Normal"/>
    <w:uiPriority w:val="34"/>
    <w:qFormat/>
    <w:rsid w:val="00FB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dc:creator>
  <cp:keywords/>
  <dc:description/>
  <cp:lastModifiedBy>INCE</cp:lastModifiedBy>
  <cp:revision>2</cp:revision>
  <dcterms:created xsi:type="dcterms:W3CDTF">2020-10-21T16:08:00Z</dcterms:created>
  <dcterms:modified xsi:type="dcterms:W3CDTF">2020-10-21T16:08:00Z</dcterms:modified>
</cp:coreProperties>
</file>